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F0" w:rsidRPr="00071F71" w:rsidRDefault="00D53EF0" w:rsidP="00D53EF0">
      <w:pPr>
        <w:spacing w:line="240" w:lineRule="auto"/>
        <w:jc w:val="center"/>
        <w:rPr>
          <w:rFonts w:eastAsia="Times New Roman"/>
          <w:szCs w:val="24"/>
          <w:lang w:eastAsia="es-CO"/>
        </w:rPr>
      </w:pPr>
      <w:r w:rsidRPr="00071F71">
        <w:rPr>
          <w:rFonts w:eastAsia="Times New Roman"/>
          <w:b/>
          <w:bCs/>
          <w:szCs w:val="24"/>
          <w:lang w:eastAsia="es-CO"/>
        </w:rPr>
        <w:t>DECRETO N° 1047</w:t>
      </w:r>
    </w:p>
    <w:p w:rsidR="00D53EF0" w:rsidRPr="00071F71" w:rsidRDefault="00D53EF0" w:rsidP="00D53EF0">
      <w:pPr>
        <w:spacing w:line="240" w:lineRule="auto"/>
        <w:jc w:val="center"/>
        <w:rPr>
          <w:rFonts w:eastAsia="Times New Roman"/>
          <w:szCs w:val="24"/>
          <w:lang w:eastAsia="es-CO"/>
        </w:rPr>
      </w:pPr>
      <w:r w:rsidRPr="00071F71">
        <w:rPr>
          <w:rFonts w:eastAsia="Times New Roman"/>
          <w:b/>
          <w:szCs w:val="24"/>
          <w:lang w:eastAsia="es-CO"/>
        </w:rPr>
        <w:t>04-06-2014</w:t>
      </w:r>
    </w:p>
    <w:p w:rsidR="00D53EF0" w:rsidRPr="00071F71" w:rsidRDefault="00D53EF0" w:rsidP="00D53EF0">
      <w:pPr>
        <w:spacing w:line="240" w:lineRule="auto"/>
        <w:jc w:val="center"/>
        <w:rPr>
          <w:rFonts w:eastAsia="Times New Roman"/>
          <w:szCs w:val="24"/>
          <w:lang w:eastAsia="es-CO"/>
        </w:rPr>
      </w:pPr>
      <w:r w:rsidRPr="00071F71">
        <w:rPr>
          <w:rFonts w:eastAsia="Times New Roman"/>
          <w:b/>
          <w:bCs/>
          <w:szCs w:val="24"/>
          <w:lang w:eastAsia="es-CO"/>
        </w:rPr>
        <w:t xml:space="preserve">MINISTERIO DEL </w:t>
      </w:r>
      <w:r w:rsidRPr="00071F71">
        <w:rPr>
          <w:rFonts w:eastAsia="Times New Roman"/>
          <w:b/>
          <w:szCs w:val="24"/>
          <w:lang w:eastAsia="es-CO"/>
        </w:rPr>
        <w:t>T</w:t>
      </w:r>
      <w:r w:rsidRPr="00071F71">
        <w:rPr>
          <w:rFonts w:eastAsia="Times New Roman"/>
          <w:b/>
          <w:bCs/>
          <w:szCs w:val="24"/>
          <w:lang w:eastAsia="es-CO"/>
        </w:rPr>
        <w:t>R</w:t>
      </w:r>
      <w:r w:rsidRPr="00071F71">
        <w:rPr>
          <w:rFonts w:eastAsia="Times New Roman"/>
          <w:b/>
          <w:szCs w:val="24"/>
          <w:lang w:eastAsia="es-CO"/>
        </w:rPr>
        <w:t>A</w:t>
      </w:r>
      <w:r w:rsidRPr="00071F71">
        <w:rPr>
          <w:rFonts w:eastAsia="Times New Roman"/>
          <w:b/>
          <w:bCs/>
          <w:szCs w:val="24"/>
          <w:lang w:eastAsia="es-CO"/>
        </w:rPr>
        <w:t>B</w:t>
      </w:r>
      <w:r w:rsidRPr="00071F71">
        <w:rPr>
          <w:rFonts w:eastAsia="Times New Roman"/>
          <w:b/>
          <w:szCs w:val="24"/>
          <w:lang w:eastAsia="es-CO"/>
        </w:rPr>
        <w:t>A</w:t>
      </w:r>
      <w:r w:rsidRPr="00071F71">
        <w:rPr>
          <w:rFonts w:eastAsia="Times New Roman"/>
          <w:b/>
          <w:bCs/>
          <w:szCs w:val="24"/>
          <w:lang w:eastAsia="es-CO"/>
        </w:rPr>
        <w:t>JO</w:t>
      </w:r>
    </w:p>
    <w:p w:rsidR="00D53EF0" w:rsidRPr="00071F71" w:rsidRDefault="00D53EF0" w:rsidP="00D53EF0">
      <w:pPr>
        <w:spacing w:line="240" w:lineRule="auto"/>
        <w:jc w:val="center"/>
        <w:rPr>
          <w:rFonts w:eastAsia="Times New Roman"/>
          <w:szCs w:val="24"/>
          <w:lang w:eastAsia="es-CO"/>
        </w:rPr>
      </w:pPr>
      <w:r w:rsidRPr="00071F71">
        <w:rPr>
          <w:rFonts w:eastAsia="Times New Roman"/>
          <w:b/>
          <w:i/>
          <w:iCs/>
          <w:szCs w:val="24"/>
          <w:lang w:eastAsia="es-CO"/>
        </w:rPr>
        <w:t> </w:t>
      </w:r>
    </w:p>
    <w:p w:rsidR="00D53EF0" w:rsidRPr="00071F71" w:rsidRDefault="00D53EF0" w:rsidP="00D53EF0">
      <w:pPr>
        <w:spacing w:line="240" w:lineRule="auto"/>
        <w:jc w:val="center"/>
        <w:rPr>
          <w:rFonts w:eastAsia="Times New Roman"/>
          <w:szCs w:val="24"/>
          <w:lang w:eastAsia="es-CO"/>
        </w:rPr>
      </w:pPr>
      <w:r w:rsidRPr="00071F71">
        <w:rPr>
          <w:rFonts w:eastAsia="Times New Roman"/>
          <w:b/>
          <w:i/>
          <w:iCs/>
          <w:szCs w:val="24"/>
          <w:lang w:eastAsia="es-CO"/>
        </w:rPr>
        <w:t> </w:t>
      </w:r>
    </w:p>
    <w:p w:rsidR="00D53EF0" w:rsidRPr="00071F71" w:rsidRDefault="00D53EF0" w:rsidP="00D53EF0">
      <w:pPr>
        <w:spacing w:line="240" w:lineRule="auto"/>
        <w:jc w:val="center"/>
        <w:rPr>
          <w:rFonts w:eastAsia="Times New Roman"/>
          <w:szCs w:val="24"/>
          <w:lang w:eastAsia="es-CO"/>
        </w:rPr>
      </w:pPr>
      <w:proofErr w:type="gramStart"/>
      <w:r w:rsidRPr="00071F71">
        <w:rPr>
          <w:rFonts w:eastAsia="Times New Roman"/>
          <w:i/>
          <w:iCs/>
          <w:szCs w:val="24"/>
          <w:lang w:eastAsia="es-CO"/>
        </w:rPr>
        <w:t>por</w:t>
      </w:r>
      <w:proofErr w:type="gramEnd"/>
      <w:r w:rsidRPr="00071F71">
        <w:rPr>
          <w:rFonts w:eastAsia="Times New Roman"/>
          <w:i/>
          <w:iCs/>
          <w:szCs w:val="24"/>
          <w:lang w:eastAsia="es-CO"/>
        </w:rPr>
        <w:t xml:space="preserve"> el cual se establecen normas para asegurar la afiliación al Sistema Integral de Seguridad Social de los conductores del servicio público de transporte terrestre automotor individual de pasajeros en vehículos taxi, se reglamentan algunos aspectos del servicio para su operatividad y se dictan otras disposiciones.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El Presidente de la República de Colombia, en ejercicio de las facultades que le confiere el numeral 11 del artículo 189 de la Constitución Política, y</w:t>
      </w:r>
    </w:p>
    <w:p w:rsidR="00D53EF0" w:rsidRPr="00071F71" w:rsidRDefault="00D53EF0" w:rsidP="00D53EF0">
      <w:pPr>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jc w:val="center"/>
        <w:rPr>
          <w:rFonts w:eastAsia="Times New Roman"/>
          <w:szCs w:val="24"/>
          <w:lang w:eastAsia="es-CO"/>
        </w:rPr>
      </w:pPr>
      <w:r w:rsidRPr="00071F71">
        <w:rPr>
          <w:rFonts w:eastAsia="Times New Roman"/>
          <w:b/>
          <w:szCs w:val="24"/>
          <w:lang w:eastAsia="es-CO"/>
        </w:rPr>
        <w:t>CONSIDERANDO:</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Que de conformidad con lo dispuesto por los artículos 48 y 53 de la Constitución Política, la seguridad social es un derecho fundamental que debe hacerse efectivo en forma progresiva para toda la población y constituye una garantía mínima de los trabajadores.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xml:space="preserve">Que el artículo 34 de la Ley 336 de 1996 consagra la obligación de las empresas de transporte público de </w:t>
      </w:r>
      <w:r w:rsidRPr="00071F71">
        <w:rPr>
          <w:rFonts w:eastAsia="Times New Roman"/>
          <w:i/>
          <w:iCs/>
          <w:szCs w:val="24"/>
          <w:lang w:eastAsia="es-CO"/>
        </w:rPr>
        <w:t>“vigilar y constatar que los conductores de sus equipos cuenten con la licencia de conducción vigente y apropiada para el servicio, así como su afiliación al sistema de seguridad social según los [sic] prevean las disposiciones legales vigentes sobre la materia”.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xml:space="preserve">Que el artículo 26 del Decreto 1703 de 2002, estableció que </w:t>
      </w:r>
      <w:r w:rsidRPr="00071F71">
        <w:rPr>
          <w:rFonts w:eastAsia="Times New Roman"/>
          <w:i/>
          <w:iCs/>
          <w:szCs w:val="24"/>
          <w:lang w:eastAsia="es-CO"/>
        </w:rPr>
        <w:t>“Para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E.P.S., en calidad de cotizantes;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Que se hace necesario garantizar el efectivo acceso de los conductores de Servicio Público de Transporte Terrestre Automotor Individual de Pasajeros en Vehículos Taxi al Sistema de Seguridad Social, a partir de su afiliación y el correspondiente pago de aportes a cada subsistema, conforme las normas generales lo han establecido.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Que la cobertura en seguridad social para los conductores de equipos destinados al servicio público de transporte individual de pasajeros, requiere el desarrollo de estrategias concurrentes y progresivas, que tengan por finalidad mejorar las condiciones de labor de los conductores, el fortalecimiento de las empresas y la mejora en la prestación del servicio público de transporte.</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Que garantizar el efectivo acceso de los conductores de Servicio Público de Transporte Terrestre Automotor Individual de Pasajeros en Vehículos Taxi al Sistema de Seguridad Social, implica la modificación de protocolos de operación y demanda nuevas cargas administrativas que requieren de instrumentos adecuados para su normal desarrollo, de tal forma que viabilicen el ejercicio empresarial en el marco de sus obligaciones, promoviendo la competencia y, en cumplimiento de lo dispuesto en el artículo 65 de la Ley 336 de 1996, procuren la armonía en las relaciones entre las distintas partes que intervienen en la prestación del servicio público de transporte.</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xml:space="preserve">Que de conformidad con el artículo 29 de la Ley 336 de 1996, le corresponde al Gobierno Nacional a través del Ministerio de Transporte formular la política y fijar los criterios a tener en cuenta para la fijación de las tarifas en cada uno de los modos de transporte, de acuerdo con lo cual y en atención a lo consagrado en el artículo 30 ibídem, las autoridades </w:t>
      </w:r>
      <w:r w:rsidRPr="00071F71">
        <w:rPr>
          <w:rFonts w:eastAsia="Times New Roman"/>
          <w:szCs w:val="24"/>
          <w:lang w:eastAsia="es-CO"/>
        </w:rPr>
        <w:lastRenderedPageBreak/>
        <w:t>competentes elaborarán los estudios de costos que servirán de base para el establecimiento de las tarifas.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Que de conformidad con el artículo 994 del Código de Comercio, modificado por el 12 del Decreto 01 de 1990, le corresponde al Gobierno Nacional establecer los seguros que debe tomar el transportador para cubrir a las personas contra los riesgos inherentes a las operaciones de transporte.</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Que en atención a las condiciones de operación de los conductores de servicio público de transporte terrestre automotor de pasajeros en vehículos taxi y los riesgos a los que se encuentran expuestos en desarrollo de sus tareas, se considera necesario adicionar un seguro de accidentes personales que ampare los riesgos a los que estos se encuentran expuestos, sin perjuicio de las coberturas del Sistema de Seguridad Social.</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En mérito de lo expuesto,</w:t>
      </w:r>
    </w:p>
    <w:p w:rsidR="00D53EF0" w:rsidRPr="00071F71" w:rsidRDefault="00D53EF0" w:rsidP="00D53EF0">
      <w:pPr>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jc w:val="center"/>
        <w:rPr>
          <w:rFonts w:eastAsia="Times New Roman"/>
          <w:szCs w:val="24"/>
          <w:lang w:eastAsia="es-CO"/>
        </w:rPr>
      </w:pPr>
      <w:r w:rsidRPr="00071F71">
        <w:rPr>
          <w:rFonts w:eastAsia="Times New Roman"/>
          <w:b/>
          <w:szCs w:val="24"/>
          <w:lang w:eastAsia="es-CO"/>
        </w:rPr>
        <w:t>DECRETA:</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Artículo 1°.</w:t>
      </w:r>
      <w:r w:rsidRPr="00071F71">
        <w:rPr>
          <w:rFonts w:eastAsia="Times New Roman"/>
          <w:szCs w:val="24"/>
          <w:lang w:eastAsia="es-CO"/>
        </w:rPr>
        <w:t xml:space="preserve"> </w:t>
      </w:r>
      <w:r w:rsidRPr="00071F71">
        <w:rPr>
          <w:rFonts w:eastAsia="Times New Roman"/>
          <w:i/>
          <w:iCs/>
          <w:szCs w:val="24"/>
          <w:lang w:eastAsia="es-CO"/>
        </w:rPr>
        <w:t xml:space="preserve">Objeto. </w:t>
      </w:r>
      <w:r w:rsidRPr="00071F71">
        <w:rPr>
          <w:rFonts w:eastAsia="Times New Roman"/>
          <w:szCs w:val="24"/>
          <w:lang w:eastAsia="es-CO"/>
        </w:rPr>
        <w:t>El presente decreto tiene por objeto adoptar medidas para garantizar el cumplimiento de las obligaciones establecidas en el artículo 34 de la Ley 336 de 1996, respecto del acceso universal a la seguridad social de los conductores de los equipos destinados al Servicio Público de Transporte Terrestre Automotor Individual de Pasajeros en Vehículos Taxi y facilitar el cumplimiento de los estándares de servicio requeridos por el ordenamiento jurídico.</w:t>
      </w:r>
    </w:p>
    <w:p w:rsidR="00D53EF0" w:rsidRPr="00071F71" w:rsidRDefault="00D53EF0" w:rsidP="00D53EF0">
      <w:pPr>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jc w:val="center"/>
        <w:rPr>
          <w:rFonts w:eastAsia="Times New Roman"/>
          <w:szCs w:val="24"/>
          <w:lang w:eastAsia="es-CO"/>
        </w:rPr>
      </w:pPr>
      <w:r w:rsidRPr="00071F71">
        <w:rPr>
          <w:rFonts w:eastAsia="Times New Roman"/>
          <w:b/>
          <w:szCs w:val="24"/>
          <w:lang w:eastAsia="es-CO"/>
        </w:rPr>
        <w:t>CAPÍTULO I</w:t>
      </w:r>
    </w:p>
    <w:p w:rsidR="00D53EF0" w:rsidRPr="00071F71" w:rsidRDefault="00D53EF0" w:rsidP="00D53EF0">
      <w:pPr>
        <w:spacing w:line="240" w:lineRule="auto"/>
        <w:jc w:val="center"/>
        <w:rPr>
          <w:rFonts w:eastAsia="Times New Roman"/>
          <w:szCs w:val="24"/>
          <w:lang w:eastAsia="es-CO"/>
        </w:rPr>
      </w:pPr>
      <w:r w:rsidRPr="00071F71">
        <w:rPr>
          <w:rFonts w:eastAsia="Times New Roman"/>
          <w:b/>
          <w:bCs/>
          <w:szCs w:val="24"/>
          <w:lang w:eastAsia="es-CO"/>
        </w:rPr>
        <w:t>Seguridad social para conductores</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Artículo 2°.</w:t>
      </w:r>
      <w:r w:rsidRPr="00071F71">
        <w:rPr>
          <w:rFonts w:eastAsia="Times New Roman"/>
          <w:szCs w:val="24"/>
          <w:lang w:eastAsia="es-CO"/>
        </w:rPr>
        <w:t xml:space="preserve"> </w:t>
      </w:r>
      <w:r w:rsidRPr="00071F71">
        <w:rPr>
          <w:rFonts w:eastAsia="Times New Roman"/>
          <w:i/>
          <w:iCs/>
          <w:szCs w:val="24"/>
          <w:lang w:eastAsia="es-CO"/>
        </w:rPr>
        <w:t xml:space="preserve">Seguridad social para conductores. </w:t>
      </w:r>
      <w:r w:rsidRPr="00071F71">
        <w:rPr>
          <w:rFonts w:eastAsia="Times New Roman"/>
          <w:szCs w:val="24"/>
          <w:lang w:eastAsia="es-CO"/>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Artículo 3°.</w:t>
      </w:r>
      <w:r w:rsidRPr="00071F71">
        <w:rPr>
          <w:rFonts w:eastAsia="Times New Roman"/>
          <w:szCs w:val="24"/>
          <w:lang w:eastAsia="es-CO"/>
        </w:rPr>
        <w:t xml:space="preserve"> </w:t>
      </w:r>
      <w:r w:rsidRPr="00071F71">
        <w:rPr>
          <w:rFonts w:eastAsia="Times New Roman"/>
          <w:i/>
          <w:iCs/>
          <w:szCs w:val="24"/>
          <w:lang w:eastAsia="es-CO"/>
        </w:rPr>
        <w:t xml:space="preserve">Normativa aplicable y Riesgo Ocupacional. </w:t>
      </w:r>
      <w:r w:rsidRPr="00071F71">
        <w:rPr>
          <w:rFonts w:eastAsia="Times New Roman"/>
          <w:szCs w:val="24"/>
          <w:lang w:eastAsia="es-CO"/>
        </w:rPr>
        <w:t>La afiliación y pago de la cotización a la seguridad social de los conductores de servicio público de transporte terrestre automotor individual de pasajeros en vehículos tipo taxi, se regirá por las normas generales establecidas para el Sistema General de Seguridad Social. El riesgo ocupacional de los conductores, para efectos del Sistema General de Riesgos Laborales, se clasifica en el nivel cuatro (IV).</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xml:space="preserve">Artículo 4°. </w:t>
      </w:r>
      <w:r w:rsidRPr="00071F71">
        <w:rPr>
          <w:rFonts w:eastAsia="Times New Roman"/>
          <w:i/>
          <w:iCs/>
          <w:szCs w:val="24"/>
          <w:lang w:eastAsia="es-CO"/>
        </w:rPr>
        <w:t xml:space="preserve">Requisitos. </w:t>
      </w:r>
      <w:r w:rsidRPr="00071F71">
        <w:rPr>
          <w:rFonts w:eastAsia="Times New Roman"/>
          <w:szCs w:val="24"/>
          <w:lang w:eastAsia="es-CO"/>
        </w:rPr>
        <w:t>Para la afiliación del conductor de servicio público de transporte terrestre automotor individual de pasajeros en vehículos tipo taxi, se requerirá únicamente el diligenciamiento del formulario físico o electrónico establecido para tal fin en la normativa vigente.</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xml:space="preserve">Parágrafo. </w:t>
      </w:r>
      <w:r w:rsidRPr="00071F71">
        <w:rPr>
          <w:rFonts w:eastAsia="Times New Roman"/>
          <w:szCs w:val="24"/>
          <w:lang w:eastAsia="es-CO"/>
        </w:rPr>
        <w:t>Las entidades administradoras del Sistema de Riesgos Laborales, no podrán impedir, entorpecer o negar la afiliación de los conductores cubiertos por el presente decreto.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xml:space="preserve">Artículo 5°. </w:t>
      </w:r>
      <w:r w:rsidRPr="00071F71">
        <w:rPr>
          <w:rFonts w:eastAsia="Times New Roman"/>
          <w:i/>
          <w:iCs/>
          <w:szCs w:val="24"/>
          <w:lang w:eastAsia="es-CO"/>
        </w:rPr>
        <w:t xml:space="preserve">Prohibición. </w:t>
      </w:r>
      <w:r w:rsidRPr="00071F71">
        <w:rPr>
          <w:rFonts w:eastAsia="Times New Roman"/>
          <w:szCs w:val="24"/>
          <w:lang w:eastAsia="es-CO"/>
        </w:rPr>
        <w:t xml:space="preserve">La empresa de servicio público de transporte individual que permita la operación de sus vehículos por conductores que no se encuentren afiliados al Sistema de Seguridad Social, incurrirá en una infracción a las normas de transporte, que dará lugar a las sanciones establecidas en el artículo 46 de la Ley 336 de 1996 y en atención a las circunstancias a la suspensión de la habilitación y permiso de operación, de </w:t>
      </w:r>
      <w:r w:rsidRPr="00071F71">
        <w:rPr>
          <w:rFonts w:eastAsia="Times New Roman"/>
          <w:szCs w:val="24"/>
          <w:lang w:eastAsia="es-CO"/>
        </w:rPr>
        <w:lastRenderedPageBreak/>
        <w:t>conformidad con lo establecido en el artículo 281 de la Ley 100 de 1993, modificado por el artículo 113 del Decreto 2150 de 1995 o la norma que lo adicione, modifique o sustituya.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xml:space="preserve">Artículo 6°. </w:t>
      </w:r>
      <w:r w:rsidRPr="00071F71">
        <w:rPr>
          <w:rFonts w:eastAsia="Times New Roman"/>
          <w:i/>
          <w:iCs/>
          <w:szCs w:val="24"/>
          <w:lang w:eastAsia="es-CO"/>
        </w:rPr>
        <w:t xml:space="preserve">PILA. </w:t>
      </w:r>
      <w:r w:rsidRPr="00071F71">
        <w:rPr>
          <w:rFonts w:eastAsia="Times New Roman"/>
          <w:szCs w:val="24"/>
          <w:lang w:eastAsia="es-CO"/>
        </w:rPr>
        <w:t>El Ministerio de Salud y Protección Social expedirá las disposiciones para actualizar en lo necesario, la Planilla Integrada de Liquidación de Aportes (PILA) y permitir la identificación en ella de los conductores cubiertos por el presente decreto.</w:t>
      </w:r>
    </w:p>
    <w:p w:rsidR="00D53EF0" w:rsidRPr="00071F71" w:rsidRDefault="00D53EF0" w:rsidP="00D53EF0">
      <w:pPr>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jc w:val="center"/>
        <w:rPr>
          <w:rFonts w:eastAsia="Times New Roman"/>
          <w:szCs w:val="24"/>
          <w:lang w:eastAsia="es-CO"/>
        </w:rPr>
      </w:pPr>
      <w:r w:rsidRPr="00071F71">
        <w:rPr>
          <w:rFonts w:eastAsia="Times New Roman"/>
          <w:b/>
          <w:szCs w:val="24"/>
          <w:lang w:eastAsia="es-CO"/>
        </w:rPr>
        <w:t>CAPÍTULO II</w:t>
      </w:r>
    </w:p>
    <w:p w:rsidR="00D53EF0" w:rsidRPr="00071F71" w:rsidRDefault="00D53EF0" w:rsidP="00D53EF0">
      <w:pPr>
        <w:spacing w:line="240" w:lineRule="auto"/>
        <w:jc w:val="center"/>
        <w:rPr>
          <w:rFonts w:eastAsia="Times New Roman"/>
          <w:szCs w:val="24"/>
          <w:lang w:eastAsia="es-CO"/>
        </w:rPr>
      </w:pPr>
      <w:r w:rsidRPr="00071F71">
        <w:rPr>
          <w:rFonts w:eastAsia="Times New Roman"/>
          <w:b/>
          <w:bCs/>
          <w:szCs w:val="24"/>
          <w:lang w:eastAsia="es-CO"/>
        </w:rPr>
        <w:t>Beneficios complementarios</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xml:space="preserve">Artículo 7°. </w:t>
      </w:r>
      <w:r w:rsidRPr="00071F71">
        <w:rPr>
          <w:rFonts w:eastAsia="Times New Roman"/>
          <w:szCs w:val="24"/>
          <w:lang w:eastAsia="es-CO"/>
        </w:rPr>
        <w:t>Se adiciona el siguiente artículo al Decreto 172 de 2001:</w:t>
      </w:r>
    </w:p>
    <w:p w:rsidR="00D53EF0" w:rsidRPr="00071F71" w:rsidRDefault="00D53EF0" w:rsidP="00D53EF0">
      <w:pPr>
        <w:spacing w:line="240" w:lineRule="auto"/>
        <w:ind w:left="284"/>
        <w:rPr>
          <w:rFonts w:eastAsia="Times New Roman"/>
          <w:szCs w:val="24"/>
          <w:lang w:eastAsia="es-CO"/>
        </w:rPr>
      </w:pPr>
      <w:r w:rsidRPr="00071F71">
        <w:rPr>
          <w:rFonts w:eastAsia="Times New Roman"/>
          <w:b/>
          <w:bCs/>
          <w:i/>
          <w:iCs/>
          <w:szCs w:val="24"/>
          <w:lang w:eastAsia="es-CO"/>
        </w:rPr>
        <w:t> </w:t>
      </w:r>
    </w:p>
    <w:p w:rsidR="00D53EF0" w:rsidRPr="00071F71" w:rsidRDefault="00D53EF0" w:rsidP="00D53EF0">
      <w:pPr>
        <w:spacing w:line="240" w:lineRule="auto"/>
        <w:ind w:left="284"/>
        <w:rPr>
          <w:rFonts w:eastAsia="Times New Roman"/>
          <w:szCs w:val="24"/>
          <w:lang w:eastAsia="es-CO"/>
        </w:rPr>
      </w:pPr>
      <w:r w:rsidRPr="00071F71">
        <w:rPr>
          <w:rFonts w:eastAsia="Times New Roman"/>
          <w:b/>
          <w:bCs/>
          <w:i/>
          <w:iCs/>
          <w:szCs w:val="24"/>
          <w:lang w:eastAsia="es-CO"/>
        </w:rPr>
        <w:t>“Artículo 58 A</w:t>
      </w:r>
      <w:r w:rsidRPr="00071F71">
        <w:rPr>
          <w:rFonts w:eastAsia="Times New Roman"/>
          <w:i/>
          <w:iCs/>
          <w:szCs w:val="24"/>
          <w:lang w:eastAsia="es-CO"/>
        </w:rPr>
        <w:t>. Seguro de accidentes personales. Las empresas de servicio público de transporte terrestre automotor individual de pasajeros en vehículos taxi, deberán tomar con compañías de seguros autorizadas para operar en Colombia, una póliza de accidentes personales que ampare a los conductores de vehículos taxis con al menos la cobertura de los siguientes riesgos:</w:t>
      </w:r>
    </w:p>
    <w:p w:rsidR="00D53EF0" w:rsidRPr="00071F71" w:rsidRDefault="00D53EF0" w:rsidP="00D53EF0">
      <w:pPr>
        <w:spacing w:line="240" w:lineRule="auto"/>
        <w:ind w:left="284"/>
        <w:rPr>
          <w:rFonts w:eastAsia="Times New Roman"/>
          <w:szCs w:val="24"/>
          <w:lang w:eastAsia="es-CO"/>
        </w:rPr>
      </w:pPr>
      <w:r w:rsidRPr="00071F71">
        <w:rPr>
          <w:rFonts w:eastAsia="Times New Roman"/>
          <w:i/>
          <w:iCs/>
          <w:szCs w:val="24"/>
          <w:lang w:eastAsia="es-CO"/>
        </w:rPr>
        <w:t> </w:t>
      </w:r>
    </w:p>
    <w:p w:rsidR="00D53EF0" w:rsidRPr="00071F71" w:rsidRDefault="00D53EF0" w:rsidP="00D53EF0">
      <w:pPr>
        <w:spacing w:line="240" w:lineRule="auto"/>
        <w:ind w:left="284"/>
        <w:rPr>
          <w:rFonts w:eastAsia="Times New Roman"/>
          <w:szCs w:val="24"/>
          <w:lang w:eastAsia="es-CO"/>
        </w:rPr>
      </w:pPr>
      <w:r w:rsidRPr="00071F71">
        <w:rPr>
          <w:rFonts w:eastAsia="Times New Roman"/>
          <w:i/>
          <w:iCs/>
          <w:szCs w:val="24"/>
          <w:lang w:eastAsia="es-CO"/>
        </w:rPr>
        <w:t>a) Muerte o incapacidad total y permanente ocasionada en accidente de tránsito ocurrido durante el ejercicio de su labor de conductor al servicio de la empresa de transporte y con ocasión del mismo;</w:t>
      </w:r>
    </w:p>
    <w:p w:rsidR="00D53EF0" w:rsidRPr="00071F71" w:rsidRDefault="00D53EF0" w:rsidP="00D53EF0">
      <w:pPr>
        <w:spacing w:line="240" w:lineRule="auto"/>
        <w:ind w:left="284"/>
        <w:rPr>
          <w:rFonts w:eastAsia="Times New Roman"/>
          <w:szCs w:val="24"/>
          <w:lang w:eastAsia="es-CO"/>
        </w:rPr>
      </w:pPr>
      <w:r w:rsidRPr="00071F71">
        <w:rPr>
          <w:rFonts w:eastAsia="Times New Roman"/>
          <w:i/>
          <w:iCs/>
          <w:szCs w:val="24"/>
          <w:lang w:eastAsia="es-CO"/>
        </w:rPr>
        <w:t>b) Muerte violenta o incapacidad total y permanente causada durante el ejercicio de su labor de conductor al servicio de la empresa de transporte como consecuencia de hurto o tentativa de hurto ocurrida durante la prestación del servicio.</w:t>
      </w:r>
    </w:p>
    <w:p w:rsidR="00D53EF0" w:rsidRPr="00071F71" w:rsidRDefault="00D53EF0" w:rsidP="00D53EF0">
      <w:pPr>
        <w:spacing w:line="240" w:lineRule="auto"/>
        <w:ind w:left="284"/>
        <w:rPr>
          <w:rFonts w:eastAsia="Times New Roman"/>
          <w:szCs w:val="24"/>
          <w:lang w:eastAsia="es-CO"/>
        </w:rPr>
      </w:pPr>
      <w:r w:rsidRPr="00071F71">
        <w:rPr>
          <w:rFonts w:eastAsia="Times New Roman"/>
          <w:i/>
          <w:iCs/>
          <w:szCs w:val="24"/>
          <w:lang w:eastAsia="es-CO"/>
        </w:rPr>
        <w:t> </w:t>
      </w:r>
    </w:p>
    <w:p w:rsidR="00D53EF0" w:rsidRPr="00071F71" w:rsidRDefault="00D53EF0" w:rsidP="00D53EF0">
      <w:pPr>
        <w:spacing w:line="240" w:lineRule="auto"/>
        <w:ind w:left="284"/>
        <w:rPr>
          <w:rFonts w:eastAsia="Times New Roman"/>
          <w:szCs w:val="24"/>
          <w:lang w:eastAsia="es-CO"/>
        </w:rPr>
      </w:pPr>
      <w:r w:rsidRPr="00071F71">
        <w:rPr>
          <w:rFonts w:eastAsia="Times New Roman"/>
          <w:i/>
          <w:iCs/>
          <w:szCs w:val="24"/>
          <w:lang w:eastAsia="es-CO"/>
        </w:rPr>
        <w:t xml:space="preserve">La suma asegurada no podrá ser inferior a treinta (30) </w:t>
      </w:r>
      <w:proofErr w:type="spellStart"/>
      <w:r w:rsidRPr="00071F71">
        <w:rPr>
          <w:rFonts w:eastAsia="Times New Roman"/>
          <w:i/>
          <w:iCs/>
          <w:szCs w:val="24"/>
          <w:lang w:eastAsia="es-CO"/>
        </w:rPr>
        <w:t>smmlv</w:t>
      </w:r>
      <w:proofErr w:type="spellEnd"/>
      <w:r w:rsidRPr="00071F71">
        <w:rPr>
          <w:rFonts w:eastAsia="Times New Roman"/>
          <w:i/>
          <w:iCs/>
          <w:szCs w:val="24"/>
          <w:lang w:eastAsia="es-CO"/>
        </w:rPr>
        <w:t xml:space="preserve"> por conductor y el pago de la prima del seguro no podrá en ningún caso ser trasladada a este.</w:t>
      </w:r>
    </w:p>
    <w:p w:rsidR="00D53EF0" w:rsidRPr="00071F71" w:rsidRDefault="00D53EF0" w:rsidP="00D53EF0">
      <w:pPr>
        <w:spacing w:line="240" w:lineRule="auto"/>
        <w:ind w:left="284"/>
        <w:rPr>
          <w:rFonts w:eastAsia="Times New Roman"/>
          <w:szCs w:val="24"/>
          <w:lang w:eastAsia="es-CO"/>
        </w:rPr>
      </w:pPr>
      <w:r w:rsidRPr="00071F71">
        <w:rPr>
          <w:rFonts w:eastAsia="Times New Roman"/>
          <w:b/>
          <w:bCs/>
          <w:i/>
          <w:iCs/>
          <w:szCs w:val="24"/>
          <w:lang w:eastAsia="es-CO"/>
        </w:rPr>
        <w:t> </w:t>
      </w:r>
    </w:p>
    <w:p w:rsidR="00D53EF0" w:rsidRPr="00071F71" w:rsidRDefault="00D53EF0" w:rsidP="00D53EF0">
      <w:pPr>
        <w:spacing w:line="240" w:lineRule="auto"/>
        <w:ind w:left="284"/>
        <w:rPr>
          <w:rFonts w:eastAsia="Times New Roman"/>
          <w:szCs w:val="24"/>
          <w:lang w:eastAsia="es-CO"/>
        </w:rPr>
      </w:pPr>
      <w:r w:rsidRPr="00071F71">
        <w:rPr>
          <w:rFonts w:eastAsia="Times New Roman"/>
          <w:b/>
          <w:bCs/>
          <w:i/>
          <w:iCs/>
          <w:szCs w:val="24"/>
          <w:lang w:eastAsia="es-CO"/>
        </w:rPr>
        <w:t xml:space="preserve">Parágrafo 1°. </w:t>
      </w:r>
      <w:r w:rsidRPr="00071F71">
        <w:rPr>
          <w:rFonts w:eastAsia="Times New Roman"/>
          <w:i/>
          <w:iCs/>
          <w:szCs w:val="24"/>
          <w:lang w:eastAsia="es-CO"/>
        </w:rPr>
        <w:t>El Ministerio del Trabajo, una vez verificada la debida vinculación de los conductores al Sistema de Seguridad Social Integral, realizará un estudio sobre la necesidad y pertinencia del seguro de accidentes personales de que trata el presente artículo y en atención a las conclusiones del mismo, presentará al Gobierno Nacional un proyecto de decreto para su derogatoria, modificación o ampliación.</w:t>
      </w:r>
    </w:p>
    <w:p w:rsidR="00D53EF0" w:rsidRPr="00071F71" w:rsidRDefault="00D53EF0" w:rsidP="00D53EF0">
      <w:pPr>
        <w:spacing w:line="240" w:lineRule="auto"/>
        <w:ind w:left="284"/>
        <w:rPr>
          <w:rFonts w:eastAsia="Times New Roman"/>
          <w:szCs w:val="24"/>
          <w:lang w:eastAsia="es-CO"/>
        </w:rPr>
      </w:pPr>
      <w:r w:rsidRPr="00071F71">
        <w:rPr>
          <w:rFonts w:eastAsia="Times New Roman"/>
          <w:b/>
          <w:bCs/>
          <w:i/>
          <w:iCs/>
          <w:szCs w:val="24"/>
          <w:lang w:eastAsia="es-CO"/>
        </w:rPr>
        <w:t> </w:t>
      </w:r>
    </w:p>
    <w:p w:rsidR="00D53EF0" w:rsidRPr="00071F71" w:rsidRDefault="00D53EF0" w:rsidP="00D53EF0">
      <w:pPr>
        <w:spacing w:line="240" w:lineRule="auto"/>
        <w:ind w:left="284"/>
        <w:rPr>
          <w:rFonts w:eastAsia="Times New Roman"/>
          <w:szCs w:val="24"/>
          <w:lang w:eastAsia="es-CO"/>
        </w:rPr>
      </w:pPr>
      <w:r w:rsidRPr="00071F71">
        <w:rPr>
          <w:rFonts w:eastAsia="Times New Roman"/>
          <w:b/>
          <w:bCs/>
          <w:i/>
          <w:iCs/>
          <w:szCs w:val="24"/>
          <w:lang w:eastAsia="es-CO"/>
        </w:rPr>
        <w:t xml:space="preserve">Parágrafo 2°. Transitorio. </w:t>
      </w:r>
      <w:r w:rsidRPr="00071F71">
        <w:rPr>
          <w:rFonts w:eastAsia="Times New Roman"/>
          <w:i/>
          <w:iCs/>
          <w:szCs w:val="24"/>
          <w:lang w:eastAsia="es-CO"/>
        </w:rPr>
        <w:t>Las empresas de transporte que a la fecha de expedición del presente decreto se encuentren habilitadas para la prestación del servicio público de transporte terrestre automotor individual de pasajeros en vehículos taxi, deberán contratar los seguros de accidentes personales de sus conductores, a más tardar al momento de solicitar la renovación de las tarjetas de operación que a la fecha de expedición del presente decreto se encuentran vigentes o dentro de los seis (6) meses siguientes a la expedición de la presente disposición, lo que primero ocurra”.</w:t>
      </w:r>
    </w:p>
    <w:p w:rsidR="00D53EF0" w:rsidRPr="00071F71" w:rsidRDefault="00D53EF0" w:rsidP="00D53EF0">
      <w:pPr>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jc w:val="center"/>
        <w:rPr>
          <w:rFonts w:eastAsia="Times New Roman"/>
          <w:szCs w:val="24"/>
          <w:lang w:eastAsia="es-CO"/>
        </w:rPr>
      </w:pPr>
      <w:r w:rsidRPr="00071F71">
        <w:rPr>
          <w:rFonts w:eastAsia="Times New Roman"/>
          <w:b/>
          <w:szCs w:val="24"/>
          <w:lang w:eastAsia="es-CO"/>
        </w:rPr>
        <w:t>CAPÍTULO III</w:t>
      </w:r>
    </w:p>
    <w:p w:rsidR="00D53EF0" w:rsidRPr="00071F71" w:rsidRDefault="00D53EF0" w:rsidP="00D53EF0">
      <w:pPr>
        <w:spacing w:line="240" w:lineRule="auto"/>
        <w:jc w:val="center"/>
        <w:rPr>
          <w:rFonts w:eastAsia="Times New Roman"/>
          <w:szCs w:val="24"/>
          <w:lang w:eastAsia="es-CO"/>
        </w:rPr>
      </w:pPr>
      <w:r w:rsidRPr="00071F71">
        <w:rPr>
          <w:rFonts w:eastAsia="Times New Roman"/>
          <w:b/>
          <w:bCs/>
          <w:szCs w:val="24"/>
          <w:lang w:eastAsia="es-CO"/>
        </w:rPr>
        <w:t>Instrumentos de control y operatividad</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 xml:space="preserve">Artículo 8°. </w:t>
      </w:r>
      <w:r w:rsidRPr="00071F71">
        <w:rPr>
          <w:rFonts w:eastAsia="Times New Roman"/>
          <w:i/>
          <w:iCs/>
          <w:szCs w:val="24"/>
          <w:lang w:eastAsia="es-CO"/>
        </w:rPr>
        <w:t xml:space="preserve">Sistema de Información y registro de conductores. </w:t>
      </w:r>
      <w:r w:rsidRPr="00071F71">
        <w:rPr>
          <w:rFonts w:eastAsia="Times New Roman"/>
          <w:szCs w:val="24"/>
          <w:lang w:eastAsia="es-CO"/>
        </w:rPr>
        <w:t>Las autoridades municipales deberán implementar y mantener actualizado un Registro de Conductores que en línea y en tiempo real permita identificar plenamente a los conductores de los vehículos de servicio público de transporte individual de pasajeros que operen en su jurisdicción y el vehículo que cada uno de ellos conduce.</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El sistema de información que se utilice para llevar dicho registro, deberá:</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xml:space="preserve">a) Cumplir con los lineamientos de la estrategia Gobierno en Línea, conforme a lo establecido en el Decreto 2693 de 2012, o la norma que lo adicione, modifique o sustituya, y de manera específica con los estándares de: accesibilidad, interoperabilidad, datos </w:t>
      </w:r>
      <w:r w:rsidRPr="00071F71">
        <w:rPr>
          <w:rFonts w:eastAsia="Times New Roman"/>
          <w:szCs w:val="24"/>
          <w:lang w:eastAsia="es-CO"/>
        </w:rPr>
        <w:lastRenderedPageBreak/>
        <w:t>abiertos, lenguaje común de intercambio de información y usabilidad web que defina el Ministerio de Tecnologías de la Información y las Comunicaciones para tal fin;</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b) Garantizar que las empresas de transporte accedan en línea y en tiempo real, para mantener actualizado el registro de sus conductores y vehículos, registrando las novedades de los mismos e identificándolos plenamente;</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c) Tener un módulo o funcionalidad que permita a la autoridad de transporte la validación de la información presentada por las empresas, previo a su cargue en el registro público;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d) Tener un módulo o funcionalidad que permita la consulta abierta que garantice el acceso en tiempo real a la información de la Tarjeta de Control, por parte de los ciudadanos.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Parágrafo 1°.</w:t>
      </w:r>
      <w:r w:rsidRPr="00071F71">
        <w:rPr>
          <w:rFonts w:eastAsia="Times New Roman"/>
          <w:szCs w:val="24"/>
          <w:lang w:eastAsia="es-CO"/>
        </w:rPr>
        <w:t xml:space="preserve"> Los municipios de categoría especial y hasta tercera categoría deberán implementar el sistema de información en un término no superior a seis (6) meses, contados a partir de la expedición del presente decreto.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Las demás entidades territoriales deberán presentar al Ministerio de Transporte el cronograma de su implementación, el cual no podrá ser superior a doce (12) meses, contados a partir de la expedición del presente decreto.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Parágrafo 2°.</w:t>
      </w:r>
      <w:r w:rsidRPr="00071F71">
        <w:rPr>
          <w:rFonts w:eastAsia="Times New Roman"/>
          <w:szCs w:val="24"/>
          <w:lang w:eastAsia="es-CO"/>
        </w:rPr>
        <w:t xml:space="preserve"> El Ministerio de Tecnologías de la Información y las Comunicaciones, a través de la Dirección de Gobierno en Línea, en coordinación con el Ministerio de Transporte, podrá brindar apoyo para el desarrollo colectivo de una solución informática basada en datos abiertos, con el fin de facilitar a los entes territoriales el cumplimiento de lo dispuesto en el presente artículo.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Artículo 9°.</w:t>
      </w:r>
      <w:r w:rsidRPr="00071F71">
        <w:rPr>
          <w:rFonts w:eastAsia="Times New Roman"/>
          <w:szCs w:val="24"/>
          <w:lang w:eastAsia="es-CO"/>
        </w:rPr>
        <w:t xml:space="preserve"> </w:t>
      </w:r>
      <w:r w:rsidRPr="00071F71">
        <w:rPr>
          <w:rFonts w:eastAsia="Times New Roman"/>
          <w:i/>
          <w:iCs/>
          <w:szCs w:val="24"/>
          <w:lang w:eastAsia="es-CO"/>
        </w:rPr>
        <w:t xml:space="preserve">Tarjeta de control. </w:t>
      </w:r>
      <w:r w:rsidRPr="00071F71">
        <w:rPr>
          <w:rFonts w:eastAsia="Times New Roman"/>
          <w:szCs w:val="24"/>
          <w:lang w:eastAsia="es-CO"/>
        </w:rPr>
        <w:t>La Tarjeta de Control es un documento individual e intransferible expedido por la empresa de transporte, que sustenta la operación del vehículo y que acredita al conductor como el autorizado para desarrollar esta actividad, bajo la responsabilidad de la empresa de transporte debidamente habilitada a la que se encuentra vinculado el equipo.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Afiliado el conductor al Sistema de Seguridad Social y verificadas las cotizaciones a este, la empresa de Transporte expedirá la Tarjeta de Control.</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La Tarjeta de Control tendrá una vigencia mensual. Cuando se presente el cambio del conductor autorizado antes de la fecha de vencimiento del documento de transporte de que trata el presente artículo, la empresa expedirá una nueva Tarjeta de Control, una vez realice el reporte de la novedad y registre al nuevo conductor. En todo caso la empresa de transporte deberá reportar al Registro de Conductores las novedades respecto de los mismos, que impliquen modificación de la información contenida en la Tarjeta de Control.</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Parágrafo.</w:t>
      </w:r>
      <w:r w:rsidRPr="00071F71">
        <w:rPr>
          <w:rFonts w:eastAsia="Times New Roman"/>
          <w:szCs w:val="24"/>
          <w:lang w:eastAsia="es-CO"/>
        </w:rPr>
        <w:t xml:space="preserve"> Las características de la Tarjeta de Control serán establecidas por el Ministerio de Transporte y su expedición y refrendación serán gratuitas para los conductores, correspondiendo a las empresas asumir su costo. Hasta tanto se expida la reglamentación respectiva, se continuará expidiendo la Tarjeta de Control en el formato vigente a la fecha de entrada en vigencia del presente decreto.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Artículo 10.</w:t>
      </w:r>
      <w:r w:rsidRPr="00071F71">
        <w:rPr>
          <w:rFonts w:eastAsia="Times New Roman"/>
          <w:szCs w:val="24"/>
          <w:lang w:eastAsia="es-CO"/>
        </w:rPr>
        <w:t xml:space="preserve"> </w:t>
      </w:r>
      <w:r w:rsidRPr="00071F71">
        <w:rPr>
          <w:rFonts w:eastAsia="Times New Roman"/>
          <w:i/>
          <w:iCs/>
          <w:szCs w:val="24"/>
          <w:lang w:eastAsia="es-CO"/>
        </w:rPr>
        <w:t xml:space="preserve">Requisitos para la expedición de la Tarjeta de Control. </w:t>
      </w:r>
      <w:r w:rsidRPr="00071F71">
        <w:rPr>
          <w:rFonts w:eastAsia="Times New Roman"/>
          <w:szCs w:val="24"/>
          <w:lang w:eastAsia="es-CO"/>
        </w:rPr>
        <w:t>A partir de la publicación del presente decreto, para la expedición de la Tarjeta de Control deberá observarse el siguiente procedimiento: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a) De conformidad con el artículo 34 de la Ley 336 de 1996, la empresa deberá constatar que el conductor se encuentra afiliado al Sistema de Seguridad Social como cotizante y que en el sistema se han pagado efectiva y oportunamente los aportes; así mismo deberá verificar que la licencia de conducción esté vigente y que corresponde a la categoría del vehículo que se va a conducir;</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xml:space="preserve">b) Cumplidos los requisitos establecidos en el literal anterior, la empresa deberá reportar el conductor al Registro de Conductores y así mismo garantizar que al momento del registro </w:t>
      </w:r>
      <w:r w:rsidRPr="00071F71">
        <w:rPr>
          <w:rFonts w:eastAsia="Times New Roman"/>
          <w:szCs w:val="24"/>
          <w:lang w:eastAsia="es-CO"/>
        </w:rPr>
        <w:lastRenderedPageBreak/>
        <w:t>del conductor, los documentos del vehículo: Seguro Obligatorio de Accidentes de Tránsito SOAT, Certificado de Revisión Técnico- mecánica y la tarjeta de operación, estén vigentes;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c) La autoridad de transporte, a través del Sistema de Información y Registro de Conductores, validará el cumplimiento de los requisitos tanto del conductor como del vehículo, garantizando en el mismo toda la trazabilidad del trámite y la generación de alertas por inconsistencias.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Artículo 11.</w:t>
      </w:r>
      <w:r w:rsidRPr="00071F71">
        <w:rPr>
          <w:rFonts w:eastAsia="Times New Roman"/>
          <w:szCs w:val="24"/>
          <w:lang w:eastAsia="es-CO"/>
        </w:rPr>
        <w:t xml:space="preserve"> </w:t>
      </w:r>
      <w:r w:rsidRPr="00071F71">
        <w:rPr>
          <w:rFonts w:eastAsia="Times New Roman"/>
          <w:i/>
          <w:iCs/>
          <w:szCs w:val="24"/>
          <w:lang w:eastAsia="es-CO"/>
        </w:rPr>
        <w:t xml:space="preserve">Contenido de la Tarjeta de Control. </w:t>
      </w:r>
      <w:r w:rsidRPr="00071F71">
        <w:rPr>
          <w:rFonts w:eastAsia="Times New Roman"/>
          <w:szCs w:val="24"/>
          <w:lang w:eastAsia="es-CO"/>
        </w:rPr>
        <w:t>La Tarjeta de Control contendrá como mínimo los siguientes datos: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a) Fotografía reciente del conductor;</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b) Número de la tarjeta;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c) Nombre completo del conductor;</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d) Grupo Sanguíneo e Información de la EPS y ARL a las que el conductor se encuentra afiliado;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e) Nombre o razón social de la empresa y número de identificación tributaria;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f) Letras y números correspondientes a las placas del vehículo que opera;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g) Firma y sello de la empresa;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h) Número interno del vehículo.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El Sistema de Información deberá permitir, en línea y en tiempo real, a través de medios electrónicos, la consulta pública para verificar la información que contiene la Tarjeta de Control.</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Parágrafo.</w:t>
      </w:r>
      <w:r w:rsidRPr="00071F71">
        <w:rPr>
          <w:rFonts w:eastAsia="Times New Roman"/>
          <w:szCs w:val="24"/>
          <w:lang w:eastAsia="es-CO"/>
        </w:rPr>
        <w:t xml:space="preserve"> La Tarjeta de Control deberá adicionalmente contener la información relacionada con el valor de las tarifas vigentes en el respectivo municipio.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Artículo 12.</w:t>
      </w:r>
      <w:r w:rsidRPr="00071F71">
        <w:rPr>
          <w:rFonts w:eastAsia="Times New Roman"/>
          <w:szCs w:val="24"/>
          <w:lang w:eastAsia="es-CO"/>
        </w:rPr>
        <w:t xml:space="preserve"> </w:t>
      </w:r>
      <w:r w:rsidRPr="00071F71">
        <w:rPr>
          <w:rFonts w:eastAsia="Times New Roman"/>
          <w:i/>
          <w:iCs/>
          <w:szCs w:val="24"/>
          <w:lang w:eastAsia="es-CO"/>
        </w:rPr>
        <w:t xml:space="preserve">Obligación de portar la Tarjeta de Control. </w:t>
      </w:r>
      <w:r w:rsidRPr="00071F71">
        <w:rPr>
          <w:rFonts w:eastAsia="Times New Roman"/>
          <w:szCs w:val="24"/>
          <w:lang w:eastAsia="es-CO"/>
        </w:rPr>
        <w:t>Como documento de transporte que soporta la operación del vehículo y con el fin de proporcionar información a los usuarios del Servicio Público de Transporte Terrestre Automotor en Vehículos Taxi, los conductores portarán en la parte trasera de la silla del copiloto la Tarjeta de Control debidamente laminada.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Artículo 13.</w:t>
      </w:r>
      <w:r w:rsidRPr="00071F71">
        <w:rPr>
          <w:rFonts w:eastAsia="Times New Roman"/>
          <w:szCs w:val="24"/>
          <w:lang w:eastAsia="es-CO"/>
        </w:rPr>
        <w:t xml:space="preserve"> </w:t>
      </w:r>
      <w:r w:rsidRPr="00071F71">
        <w:rPr>
          <w:rFonts w:eastAsia="Times New Roman"/>
          <w:i/>
          <w:iCs/>
          <w:szCs w:val="24"/>
          <w:lang w:eastAsia="es-CO"/>
        </w:rPr>
        <w:t xml:space="preserve">Reporte de información. </w:t>
      </w:r>
      <w:r w:rsidRPr="00071F71">
        <w:rPr>
          <w:rFonts w:eastAsia="Times New Roman"/>
          <w:szCs w:val="24"/>
          <w:lang w:eastAsia="es-CO"/>
        </w:rPr>
        <w:t>Las empresas de transporte accederán en línea y en tiempo real al Sistema de Información y Registro de Conductores para reportar todas las novedades relacionadas con los conductores de los vehículos.</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El Sistema de Información y Registro de Conductores deberá contener como mínimo: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a) Fotografía reciente del conductor;</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b) Nombre completo y número del documento de identificación del conductor;</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c) Grupo Sanguíneo y factor RH e Información de la EPS y ARL a las que el conductor se encuentra afiliado;</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d) Teléfono y dirección de domicilio del conductor;</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e) Nombre o razón social de la empresa y número de identificación tributaria;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f) Letras y números correspondientes a las placas del vehículo que opera.</w:t>
      </w:r>
    </w:p>
    <w:p w:rsidR="00D53EF0" w:rsidRPr="00071F71" w:rsidRDefault="00D53EF0" w:rsidP="00D53EF0">
      <w:pPr>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spacing w:line="240" w:lineRule="auto"/>
        <w:rPr>
          <w:rFonts w:eastAsia="Times New Roman"/>
          <w:szCs w:val="24"/>
          <w:lang w:eastAsia="es-CO"/>
        </w:rPr>
      </w:pPr>
      <w:r w:rsidRPr="00071F71">
        <w:rPr>
          <w:rFonts w:eastAsia="Times New Roman"/>
          <w:b/>
          <w:szCs w:val="24"/>
          <w:lang w:eastAsia="es-CO"/>
        </w:rPr>
        <w:t>Parágrafo 1°.</w:t>
      </w:r>
      <w:r w:rsidRPr="00071F71">
        <w:rPr>
          <w:rFonts w:eastAsia="Times New Roman"/>
          <w:szCs w:val="24"/>
          <w:lang w:eastAsia="es-CO"/>
        </w:rPr>
        <w:t xml:space="preserve"> La información de que trata el presente artículo solo podrá ser consultada para efectos judiciales y por parte de las autoridades competentes, de conformidad con las normas vigentes sobre la protección de datos. La información mínima deberá estandarizarse cumpliendo los lineamientos de interoperabilidad y lenguaje común de intercambio de información generados por la estrategia de Gobierno en Línea.</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Parágrafo 2°.</w:t>
      </w:r>
      <w:r w:rsidRPr="00071F71">
        <w:rPr>
          <w:rFonts w:eastAsia="Times New Roman"/>
          <w:szCs w:val="24"/>
          <w:lang w:eastAsia="es-CO"/>
        </w:rPr>
        <w:t xml:space="preserve"> Hasta tanto inicie operación el Sistema de Información y Registro de Conductores, los reportes de que trata el presente artículo deberán realizarse al registro municipal de conductores como mínimo una vez al mes.</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lastRenderedPageBreak/>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Artículo 14.</w:t>
      </w:r>
      <w:r w:rsidRPr="00071F71">
        <w:rPr>
          <w:rFonts w:eastAsia="Times New Roman"/>
          <w:szCs w:val="24"/>
          <w:lang w:eastAsia="es-CO"/>
        </w:rPr>
        <w:t xml:space="preserve"> </w:t>
      </w:r>
      <w:r w:rsidRPr="00071F71">
        <w:rPr>
          <w:rFonts w:eastAsia="Times New Roman"/>
          <w:i/>
          <w:iCs/>
          <w:szCs w:val="24"/>
          <w:lang w:eastAsia="es-CO"/>
        </w:rPr>
        <w:t xml:space="preserve">Entrega de los documentos de transporte. </w:t>
      </w:r>
      <w:r w:rsidRPr="00071F71">
        <w:rPr>
          <w:rFonts w:eastAsia="Times New Roman"/>
          <w:szCs w:val="24"/>
          <w:lang w:eastAsia="es-CO"/>
        </w:rPr>
        <w:t>Las empresas de transporte no podrán retener los documentos que soportan la operación de los vehículos, sujetando su entrega al cumplimiento de las obligaciones dinerarias pactadas en el contrato de vinculación.</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xml:space="preserve">Artículo 15. </w:t>
      </w:r>
      <w:r w:rsidRPr="00071F71">
        <w:rPr>
          <w:rFonts w:eastAsia="Times New Roman"/>
          <w:i/>
          <w:iCs/>
          <w:szCs w:val="24"/>
          <w:lang w:eastAsia="es-CO"/>
        </w:rPr>
        <w:t xml:space="preserve">Desvinculación administrativa. </w:t>
      </w:r>
      <w:r w:rsidRPr="00071F71">
        <w:rPr>
          <w:rFonts w:eastAsia="Times New Roman"/>
          <w:szCs w:val="24"/>
          <w:lang w:eastAsia="es-CO"/>
        </w:rPr>
        <w:t>Vencido el contrato de vinculación, cualquiera de las partes que lo suscribió podrá solicitar la desvinculación del vehículo a la autoridad de transporte competente, la cual deberá resolver la solicitud dentro de los quince (15) días hábiles siguientes, sin que pueda exigir otra causa o condición, diferente a la que se hace referencia en el artículo 34 del Decreto 172 de 2001, o la norma que lo modifique, adicione o sustituya.</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xml:space="preserve">Parágrafo 1°. </w:t>
      </w:r>
      <w:r w:rsidRPr="00071F71">
        <w:rPr>
          <w:rFonts w:eastAsia="Times New Roman"/>
          <w:szCs w:val="24"/>
          <w:lang w:eastAsia="es-CO"/>
        </w:rPr>
        <w:t>En todo caso, el propietario interesado en la desvinculación de un vehículo no podrá prestar el servicio de su vehículo a otra empresa, hasta tanto la misma no le haya sido autorizada; la empresa a la cual está vinculado el vehículo, tiene la obligación de permitir que continúe trabajando en la misma forma en que lo venía haciendo hasta que se decida sobre la solicitud de desvinculación.</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xml:space="preserve">Parágrafo 2°. </w:t>
      </w:r>
      <w:r w:rsidRPr="00071F71">
        <w:rPr>
          <w:rFonts w:eastAsia="Times New Roman"/>
          <w:szCs w:val="24"/>
          <w:lang w:eastAsia="es-CO"/>
        </w:rPr>
        <w:t>De conformidad con el artículo 35 del Decreto 172 de 2001, la desvinculación del vehículo no es condición suficiente para la vinculación de vehículos al parque automotor de este servicio en un distrito o municipio. Los vehículos desvinculados podrán vincularse a cualquiera de las empresas de transporte habilitadas en esta modalidad al interior del mismo distrito o municipio y las empresas de las cuales se desvinculan, solo podrán reemplazarlos por vehículos que ya se encuentren matriculados para este servicio en el distrito o municipio.</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b/>
          <w:szCs w:val="24"/>
          <w:lang w:eastAsia="es-CO"/>
        </w:rPr>
        <w:t>CAPÍTULO IV</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b/>
          <w:bCs/>
          <w:szCs w:val="24"/>
          <w:lang w:eastAsia="es-CO"/>
        </w:rPr>
        <w:t>Suficiencia tarifaria</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xml:space="preserve">Artículo 16. </w:t>
      </w:r>
      <w:r w:rsidRPr="00071F71">
        <w:rPr>
          <w:rFonts w:eastAsia="Times New Roman"/>
          <w:i/>
          <w:iCs/>
          <w:szCs w:val="24"/>
          <w:lang w:eastAsia="es-CO"/>
        </w:rPr>
        <w:t xml:space="preserve">Estudios de costos. </w:t>
      </w:r>
      <w:r w:rsidRPr="00071F71">
        <w:rPr>
          <w:rFonts w:eastAsia="Times New Roman"/>
          <w:szCs w:val="24"/>
          <w:lang w:eastAsia="es-CO"/>
        </w:rPr>
        <w:t>Las autoridades de transporte municipales, distritales o metropolitanas deberán anualmente actualizar los estudios técnicos de costos para la fijación de las tarifas del servicio público de transporte terrestre automotor individual de pasajeros en vehículos taxi, siguiendo la metodología establecida por el Ministerio de Transporte mediante la Resolución 4350 de 1998, modificada por la Resolución 392 de 1999, o la norma que la modifique, adicione o sustituya y fijar o ajustar las tarifas cuando a ello hubiere lugar.</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El Ministerio de Transporte establecerá criterios técnicos que permitan la fijación de tarifas diferenciadas en atención a niveles de servicio y cobros adicionales por servicios complementarios. Así mismo, incluirá dentro de la metodología para la elaboración de los estudios de costos, factores como la congestión y las medidas de restricción a la circulación.</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De conformidad con lo establecido en el numeral 9 del artículo 3° de la Ley 105 de 1993, cuando la autoridad de transporte competente considere necesario fijar tarifas por debajo de lo concluido técnicamente, deberá asumir la diferencia del valor, estipulando en el acto administrativo la fuente presupuestal que lo financie y una forma de operación que garantice su efectividad.</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b/>
          <w:szCs w:val="24"/>
          <w:lang w:eastAsia="es-CO"/>
        </w:rPr>
        <w:t>CAPÍTULO V</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b/>
          <w:bCs/>
          <w:szCs w:val="24"/>
          <w:lang w:eastAsia="es-CO"/>
        </w:rPr>
        <w:t>Desarrollo de competencias para conductores</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Artículo 17.</w:t>
      </w:r>
      <w:r w:rsidRPr="00071F71">
        <w:rPr>
          <w:rFonts w:eastAsia="Times New Roman"/>
          <w:szCs w:val="24"/>
          <w:lang w:eastAsia="es-CO"/>
        </w:rPr>
        <w:t xml:space="preserve"> </w:t>
      </w:r>
      <w:r w:rsidRPr="00071F71">
        <w:rPr>
          <w:rFonts w:eastAsia="Times New Roman"/>
          <w:i/>
          <w:iCs/>
          <w:szCs w:val="24"/>
          <w:lang w:eastAsia="es-CO"/>
        </w:rPr>
        <w:t xml:space="preserve">Programa de formación para el desarrollo de competencias para conductores. </w:t>
      </w:r>
      <w:r w:rsidRPr="00071F71">
        <w:rPr>
          <w:rFonts w:eastAsia="Times New Roman"/>
          <w:szCs w:val="24"/>
          <w:lang w:eastAsia="es-CO"/>
        </w:rPr>
        <w:t xml:space="preserve">El Ministerio de Transporte en coordinación con el SENA, diseñará, desarrollará y promoverá la formación basada en competencias para conductores de servicio público de transporte terrestre automotor individual de pasajeros en vehículos taxi, </w:t>
      </w:r>
      <w:r w:rsidRPr="00071F71">
        <w:rPr>
          <w:rFonts w:eastAsia="Times New Roman"/>
          <w:szCs w:val="24"/>
          <w:lang w:eastAsia="es-CO"/>
        </w:rPr>
        <w:lastRenderedPageBreak/>
        <w:t>con el fin de promover que este servicio se brinde con los mejores estándares de calidad y seguridad de los conductores y terceros.</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Artículo 18.</w:t>
      </w:r>
      <w:r w:rsidRPr="00071F71">
        <w:rPr>
          <w:rFonts w:eastAsia="Times New Roman"/>
          <w:szCs w:val="24"/>
          <w:lang w:eastAsia="es-CO"/>
        </w:rPr>
        <w:t xml:space="preserve"> El Gobierno trabajará en un plan piloto para avanzar en la identificación y estandarización de competencias laborales de los conductores del servicio público de transporte terrestre automotor individual de pasajeros en vehículos taxi, con el fin de explorar la posibilidad de promover la acreditación de las mismas.</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b/>
          <w:szCs w:val="24"/>
          <w:lang w:eastAsia="es-CO"/>
        </w:rPr>
        <w:t>CAPÍTULO VI</w:t>
      </w:r>
    </w:p>
    <w:p w:rsidR="00D53EF0" w:rsidRPr="00071F71" w:rsidRDefault="00D53EF0" w:rsidP="00D53EF0">
      <w:pPr>
        <w:adjustRightInd w:val="0"/>
        <w:spacing w:line="240" w:lineRule="auto"/>
        <w:jc w:val="center"/>
        <w:rPr>
          <w:rFonts w:eastAsia="Times New Roman"/>
          <w:szCs w:val="24"/>
          <w:lang w:eastAsia="es-CO"/>
        </w:rPr>
      </w:pPr>
      <w:r w:rsidRPr="00071F71">
        <w:rPr>
          <w:rFonts w:eastAsia="Times New Roman"/>
          <w:b/>
          <w:bCs/>
          <w:szCs w:val="24"/>
          <w:lang w:eastAsia="es-CO"/>
        </w:rPr>
        <w:t>Disposiciones varias</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Artículo 19.</w:t>
      </w:r>
      <w:r w:rsidRPr="00071F71">
        <w:rPr>
          <w:rFonts w:eastAsia="Times New Roman"/>
          <w:szCs w:val="24"/>
          <w:lang w:eastAsia="es-CO"/>
        </w:rPr>
        <w:t xml:space="preserve"> Adicionar el siguiente parágrafo al artículo 10 del Decreto 172 de 2001:</w:t>
      </w:r>
    </w:p>
    <w:p w:rsidR="00D53EF0" w:rsidRPr="00071F71" w:rsidRDefault="00D53EF0" w:rsidP="00D53EF0">
      <w:pPr>
        <w:adjustRightInd w:val="0"/>
        <w:spacing w:line="240" w:lineRule="auto"/>
        <w:ind w:left="284"/>
        <w:rPr>
          <w:rFonts w:eastAsia="Times New Roman"/>
          <w:szCs w:val="24"/>
          <w:lang w:eastAsia="es-CO"/>
        </w:rPr>
      </w:pPr>
      <w:r w:rsidRPr="00071F71">
        <w:rPr>
          <w:rFonts w:eastAsia="Times New Roman"/>
          <w:i/>
          <w:iCs/>
          <w:szCs w:val="24"/>
          <w:lang w:eastAsia="es-CO"/>
        </w:rPr>
        <w:t> </w:t>
      </w:r>
    </w:p>
    <w:p w:rsidR="00D53EF0" w:rsidRPr="00071F71" w:rsidRDefault="00D53EF0" w:rsidP="00D53EF0">
      <w:pPr>
        <w:adjustRightInd w:val="0"/>
        <w:spacing w:line="240" w:lineRule="auto"/>
        <w:ind w:left="284"/>
        <w:rPr>
          <w:rFonts w:eastAsia="Times New Roman"/>
          <w:szCs w:val="24"/>
          <w:lang w:eastAsia="es-CO"/>
        </w:rPr>
      </w:pPr>
      <w:r w:rsidRPr="00071F71">
        <w:rPr>
          <w:rFonts w:eastAsia="Times New Roman"/>
          <w:i/>
          <w:iCs/>
          <w:szCs w:val="24"/>
          <w:lang w:eastAsia="es-CO"/>
        </w:rPr>
        <w:t>“</w:t>
      </w:r>
      <w:r w:rsidRPr="00071F71">
        <w:rPr>
          <w:rFonts w:eastAsia="Times New Roman"/>
          <w:b/>
          <w:bCs/>
          <w:i/>
          <w:iCs/>
          <w:szCs w:val="24"/>
          <w:lang w:eastAsia="es-CO"/>
        </w:rPr>
        <w:t>Parágrafo</w:t>
      </w:r>
      <w:r w:rsidRPr="00071F71">
        <w:rPr>
          <w:rFonts w:eastAsia="Times New Roman"/>
          <w:i/>
          <w:iCs/>
          <w:szCs w:val="24"/>
          <w:lang w:eastAsia="es-CO"/>
        </w:rPr>
        <w:t>. Las autoridades de transporte competentes deberán conocer y resolver las solicitudes de habilitación de empresas de Servicio Público de Transporte Terrestre Automotor individual de pasajeros en vehículos taxi.</w:t>
      </w:r>
    </w:p>
    <w:p w:rsidR="00D53EF0" w:rsidRPr="00071F71" w:rsidRDefault="00D53EF0" w:rsidP="00D53EF0">
      <w:pPr>
        <w:adjustRightInd w:val="0"/>
        <w:spacing w:line="240" w:lineRule="auto"/>
        <w:ind w:left="284"/>
        <w:rPr>
          <w:rFonts w:eastAsia="Times New Roman"/>
          <w:szCs w:val="24"/>
          <w:lang w:eastAsia="es-CO"/>
        </w:rPr>
      </w:pPr>
      <w:r w:rsidRPr="00071F71">
        <w:rPr>
          <w:rFonts w:eastAsia="Times New Roman"/>
          <w:i/>
          <w:iCs/>
          <w:szCs w:val="24"/>
          <w:lang w:eastAsia="es-CO"/>
        </w:rPr>
        <w:t> </w:t>
      </w:r>
    </w:p>
    <w:p w:rsidR="00D53EF0" w:rsidRPr="00071F71" w:rsidRDefault="00D53EF0" w:rsidP="00D53EF0">
      <w:pPr>
        <w:adjustRightInd w:val="0"/>
        <w:spacing w:line="240" w:lineRule="auto"/>
        <w:ind w:left="284"/>
        <w:rPr>
          <w:rFonts w:eastAsia="Times New Roman"/>
          <w:szCs w:val="24"/>
          <w:lang w:eastAsia="es-CO"/>
        </w:rPr>
      </w:pPr>
      <w:r w:rsidRPr="00071F71">
        <w:rPr>
          <w:rFonts w:eastAsia="Times New Roman"/>
          <w:i/>
          <w:iCs/>
          <w:szCs w:val="24"/>
          <w:lang w:eastAsia="es-CO"/>
        </w:rPr>
        <w:t>No podrá resolverse negativamente la solicitud por razones asociadas a la congelación del parque automotor. En estos casos, la empresa de transporte una vez habilitada, podrá vincular vehículos por cambio de empresa”.</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Artículo 20.</w:t>
      </w:r>
      <w:r w:rsidRPr="00071F71">
        <w:rPr>
          <w:rFonts w:eastAsia="Times New Roman"/>
          <w:szCs w:val="24"/>
          <w:lang w:eastAsia="es-CO"/>
        </w:rPr>
        <w:t xml:space="preserve"> </w:t>
      </w:r>
      <w:r w:rsidRPr="00071F71">
        <w:rPr>
          <w:rFonts w:eastAsia="Times New Roman"/>
          <w:i/>
          <w:iCs/>
          <w:szCs w:val="24"/>
          <w:lang w:eastAsia="es-CO"/>
        </w:rPr>
        <w:t xml:space="preserve">Vehículos en leasing y </w:t>
      </w:r>
      <w:proofErr w:type="spellStart"/>
      <w:r w:rsidRPr="00071F71">
        <w:rPr>
          <w:rFonts w:eastAsia="Times New Roman"/>
          <w:i/>
          <w:iCs/>
          <w:szCs w:val="24"/>
          <w:lang w:eastAsia="es-CO"/>
        </w:rPr>
        <w:t>renting</w:t>
      </w:r>
      <w:proofErr w:type="spellEnd"/>
      <w:r w:rsidRPr="00071F71">
        <w:rPr>
          <w:rFonts w:eastAsia="Times New Roman"/>
          <w:i/>
          <w:iCs/>
          <w:szCs w:val="24"/>
          <w:lang w:eastAsia="es-CO"/>
        </w:rPr>
        <w:t xml:space="preserve">. </w:t>
      </w:r>
      <w:r w:rsidRPr="00071F71">
        <w:rPr>
          <w:rFonts w:eastAsia="Times New Roman"/>
          <w:szCs w:val="24"/>
          <w:lang w:eastAsia="es-CO"/>
        </w:rPr>
        <w:t xml:space="preserve">Cuando los vehículos hayan sido adquiridos en las modalidades leasing o </w:t>
      </w:r>
      <w:proofErr w:type="spellStart"/>
      <w:r w:rsidRPr="00071F71">
        <w:rPr>
          <w:rFonts w:eastAsia="Times New Roman"/>
          <w:szCs w:val="24"/>
          <w:lang w:eastAsia="es-CO"/>
        </w:rPr>
        <w:t>renting</w:t>
      </w:r>
      <w:proofErr w:type="spellEnd"/>
      <w:r w:rsidRPr="00071F71">
        <w:rPr>
          <w:rFonts w:eastAsia="Times New Roman"/>
          <w:szCs w:val="24"/>
          <w:lang w:eastAsia="es-CO"/>
        </w:rPr>
        <w:t>, las obligaciones que corresponden a los propietarios de los Vehículos respecto de los conductores de transporte público terrestre automotor individual de pasajeros en vehículos taxi, se entenderán a cargo del locatario de los equipos.</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Artículo 21.</w:t>
      </w:r>
      <w:r w:rsidRPr="00071F71">
        <w:rPr>
          <w:rFonts w:eastAsia="Times New Roman"/>
          <w:szCs w:val="24"/>
          <w:lang w:eastAsia="es-CO"/>
        </w:rPr>
        <w:t xml:space="preserve"> </w:t>
      </w:r>
      <w:r w:rsidRPr="00071F71">
        <w:rPr>
          <w:rFonts w:eastAsia="Times New Roman"/>
          <w:i/>
          <w:iCs/>
          <w:szCs w:val="24"/>
          <w:lang w:eastAsia="es-CO"/>
        </w:rPr>
        <w:t xml:space="preserve">Inspección, vigilancia y control. </w:t>
      </w:r>
      <w:r w:rsidRPr="00071F71">
        <w:rPr>
          <w:rFonts w:eastAsia="Times New Roman"/>
          <w:szCs w:val="24"/>
          <w:lang w:eastAsia="es-CO"/>
        </w:rPr>
        <w:t>Sin perjuicio de las competencias que le corresponden a la Superintendencia Nacional de Salud, a la Unidad de Gestión Pensional y Parafiscales (UGPP) y a la autoridad de inspección, vigilancia y control en materia de transporte, el Ministerio del Trabajo ejecutará las acciones de inspección, vigilancia y control que se requieran para garantizar el cumplimiento del presente decreto, en lo concerniente a las normas de seguridad social.</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Artículo 22.</w:t>
      </w:r>
      <w:r w:rsidRPr="00071F71">
        <w:rPr>
          <w:rFonts w:eastAsia="Times New Roman"/>
          <w:szCs w:val="24"/>
          <w:lang w:eastAsia="es-CO"/>
        </w:rPr>
        <w:t xml:space="preserve"> </w:t>
      </w:r>
      <w:r w:rsidRPr="00071F71">
        <w:rPr>
          <w:rFonts w:eastAsia="Times New Roman"/>
          <w:i/>
          <w:iCs/>
          <w:szCs w:val="24"/>
          <w:lang w:eastAsia="es-CO"/>
        </w:rPr>
        <w:t xml:space="preserve">Vigencia. </w:t>
      </w:r>
      <w:r w:rsidRPr="00071F71">
        <w:rPr>
          <w:rFonts w:eastAsia="Times New Roman"/>
          <w:szCs w:val="24"/>
          <w:lang w:eastAsia="es-CO"/>
        </w:rPr>
        <w:t>El presente decreto rige a partir de la fecha de su publicación y deroga todas las disposiciones que le sean contrarias, especialmente el inciso segundo del artículo 4° del Decreto 2660 de 1998, los numerales 4 y 6 del artículo 28 y los artículos 29, 30, 31, 32, 47, 48, 49, 50, 51, 52 y 53 del Decreto 172 de 2001.</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Publíquese y cúmplase.</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szCs w:val="24"/>
          <w:lang w:eastAsia="es-CO"/>
        </w:rPr>
        <w:t>Dado en Bogotá, D. C., a 4 de junio de 2014.</w:t>
      </w:r>
    </w:p>
    <w:p w:rsidR="00D53EF0" w:rsidRPr="00071F71" w:rsidRDefault="00D53EF0" w:rsidP="00D53EF0">
      <w:pPr>
        <w:adjustRightInd w:val="0"/>
        <w:spacing w:line="240" w:lineRule="auto"/>
        <w:jc w:val="right"/>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jc w:val="right"/>
        <w:rPr>
          <w:rFonts w:eastAsia="Times New Roman"/>
          <w:szCs w:val="24"/>
          <w:lang w:eastAsia="es-CO"/>
        </w:rPr>
      </w:pPr>
      <w:r w:rsidRPr="00071F71">
        <w:rPr>
          <w:rFonts w:eastAsia="Times New Roman"/>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JUAN MANUEL SANTOS CALDERÓN</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w:t>
      </w:r>
    </w:p>
    <w:p w:rsidR="00D53EF0" w:rsidRPr="00071F71" w:rsidRDefault="00D53EF0" w:rsidP="00D53EF0">
      <w:pPr>
        <w:adjustRightInd w:val="0"/>
        <w:spacing w:line="240" w:lineRule="auto"/>
        <w:rPr>
          <w:rFonts w:eastAsia="Times New Roman"/>
          <w:szCs w:val="24"/>
          <w:lang w:eastAsia="es-CO"/>
        </w:rPr>
      </w:pPr>
      <w:r w:rsidRPr="00071F71">
        <w:rPr>
          <w:rFonts w:eastAsia="Times New Roman"/>
          <w:b/>
          <w:szCs w:val="24"/>
          <w:lang w:eastAsia="es-CO"/>
        </w:rPr>
        <w:t> </w:t>
      </w:r>
      <w:bookmarkStart w:id="0" w:name="_GoBack"/>
      <w:bookmarkEnd w:id="0"/>
    </w:p>
    <w:sectPr w:rsidR="00D53EF0" w:rsidRPr="00071F71"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F0"/>
    <w:rsid w:val="000475A0"/>
    <w:rsid w:val="00071F71"/>
    <w:rsid w:val="00A067C7"/>
    <w:rsid w:val="00B51D80"/>
    <w:rsid w:val="00D53E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3457</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2014-06-22T14:38:00Z</dcterms:created>
  <dcterms:modified xsi:type="dcterms:W3CDTF">2014-06-23T02:32:00Z</dcterms:modified>
</cp:coreProperties>
</file>